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default" w:ascii="宋体" w:eastAsia="宋体"/>
          <w:b/>
          <w:color w:val="000000"/>
          <w:sz w:val="30"/>
          <w:szCs w:val="30"/>
          <w:lang w:val="en-US" w:eastAsia="zh-CN"/>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YLXZYYY2025YNGW1210</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eastAsia="zh-CN"/>
        </w:rPr>
        <w:t>实时荧光定量</w:t>
      </w:r>
      <w:r>
        <w:rPr>
          <w:rFonts w:hint="eastAsia" w:ascii="宋体"/>
          <w:b/>
          <w:color w:val="000000"/>
          <w:sz w:val="52"/>
          <w:szCs w:val="52"/>
          <w:lang w:val="en-US" w:eastAsia="zh-CN"/>
        </w:rPr>
        <w:t>PCR仪</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2025年12月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实时荧光定量PCR仪一台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实时荧光定量PCR仪</w:t>
      </w:r>
      <w:r>
        <w:rPr>
          <w:rFonts w:hint="eastAsia" w:ascii="宋体"/>
          <w:b/>
          <w:color w:val="000000"/>
          <w:sz w:val="28"/>
          <w:szCs w:val="28"/>
        </w:rPr>
        <w:t>采购项目</w:t>
      </w:r>
    </w:p>
    <w:p w14:paraId="7F043A2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b/>
          <w:color w:val="000000"/>
          <w:sz w:val="30"/>
          <w:szCs w:val="30"/>
          <w:lang w:val="en-US" w:eastAsia="zh-CN"/>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YLXZYYY2025YNGW1210</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0.5万元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0.5</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15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下午</w:t>
      </w:r>
      <w:r>
        <w:rPr>
          <w:rFonts w:hint="eastAsia" w:ascii="宋体" w:hAnsi="宋体" w:cs="宋体"/>
          <w:color w:val="auto"/>
          <w:sz w:val="28"/>
          <w:szCs w:val="28"/>
          <w:u w:val="single"/>
          <w:lang w:val="en-US" w:eastAsia="zh-CN"/>
        </w:rPr>
        <w:t>17:00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w:t>
      </w:r>
      <w:r>
        <w:rPr>
          <w:rFonts w:hint="eastAsia" w:ascii="宋体" w:hAnsi="宋体" w:cs="宋体"/>
          <w:color w:val="auto"/>
          <w:sz w:val="28"/>
          <w:szCs w:val="28"/>
          <w:lang w:eastAsia="zh-CN"/>
        </w:rPr>
        <w:t>新南路南二段</w:t>
      </w:r>
      <w:r>
        <w:rPr>
          <w:rFonts w:hint="eastAsia" w:ascii="宋体" w:hAnsi="宋体" w:cs="宋体"/>
          <w:color w:val="auto"/>
          <w:sz w:val="28"/>
          <w:szCs w:val="28"/>
          <w:lang w:val="en-US" w:eastAsia="zh-CN"/>
        </w:rPr>
        <w:t>2号综合楼</w:t>
      </w:r>
      <w:r>
        <w:rPr>
          <w:rFonts w:hint="eastAsia" w:ascii="宋体" w:hAnsi="宋体" w:eastAsia="宋体" w:cs="宋体"/>
          <w:color w:val="auto"/>
          <w:sz w:val="28"/>
          <w:szCs w:val="28"/>
          <w:lang w:val="en-US" w:eastAsia="zh-CN"/>
        </w:rPr>
        <w:t>后勤保障</w:t>
      </w:r>
      <w:r>
        <w:rPr>
          <w:rFonts w:hint="eastAsia" w:ascii="宋体" w:hAnsi="宋体" w:cs="宋体"/>
          <w:color w:val="auto"/>
          <w:sz w:val="28"/>
          <w:szCs w:val="28"/>
          <w:lang w:val="en-US" w:eastAsia="zh-CN"/>
        </w:rPr>
        <w:t>科</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60BA319B">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lang w:val="en-US" w:eastAsia="zh-CN"/>
        </w:rPr>
        <w:t>日</w:t>
      </w: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实时荧光定量PCR仪</w:t>
      </w:r>
      <w:r>
        <w:rPr>
          <w:rFonts w:hint="eastAsia" w:ascii="宋体"/>
          <w:b/>
          <w:color w:val="000000"/>
          <w:sz w:val="28"/>
          <w:szCs w:val="28"/>
        </w:rPr>
        <w:t>采购项目</w:t>
      </w:r>
      <w:r>
        <w:rPr>
          <w:rFonts w:hint="eastAsia" w:ascii="宋体"/>
          <w:b/>
          <w:color w:val="000000"/>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YLXZYYY2025YNGW1210</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品目</w:t>
            </w:r>
            <w:r>
              <w:rPr>
                <w:rFonts w:hint="eastAsia" w:ascii="宋体" w:hAnsi="宋体" w:eastAsia="宋体" w:cs="宋体"/>
                <w:color w:val="auto"/>
                <w:sz w:val="28"/>
                <w:szCs w:val="28"/>
                <w:vertAlign w:val="baseline"/>
                <w:lang w:val="en-US" w:eastAsia="zh-CN"/>
              </w:rPr>
              <w:t>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eastAsia" w:ascii="宋体" w:hAnsi="宋体" w:cs="宋体"/>
                <w:color w:val="auto"/>
                <w:sz w:val="28"/>
                <w:szCs w:val="28"/>
                <w:vertAlign w:val="baseline"/>
                <w:lang w:val="en-US" w:eastAsia="zh-CN"/>
              </w:rPr>
              <w:t>本报价单报价均为</w:t>
            </w:r>
            <w:r>
              <w:rPr>
                <w:rFonts w:hint="eastAsia" w:ascii="宋体" w:hAnsi="宋体" w:eastAsia="宋体" w:cs="宋体"/>
                <w:color w:val="auto"/>
                <w:sz w:val="28"/>
                <w:szCs w:val="28"/>
                <w:vertAlign w:val="baseline"/>
                <w:lang w:val="en-US" w:eastAsia="zh-CN"/>
              </w:rPr>
              <w:t>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r>
              <w:rPr>
                <w:rFonts w:hint="eastAsia" w:ascii="宋体" w:hAnsi="宋体" w:cs="宋体"/>
                <w:color w:val="auto"/>
                <w:sz w:val="28"/>
                <w:szCs w:val="28"/>
                <w:vertAlign w:val="baseline"/>
                <w:lang w:val="en-US" w:eastAsia="zh-CN"/>
              </w:rPr>
              <w:t>等</w:t>
            </w:r>
            <w:r>
              <w:rPr>
                <w:rFonts w:hint="eastAsia" w:ascii="宋体" w:hAnsi="宋体" w:eastAsia="宋体" w:cs="宋体"/>
                <w:color w:val="auto"/>
                <w:sz w:val="28"/>
                <w:szCs w:val="28"/>
                <w:vertAlign w:val="baseline"/>
                <w:lang w:val="en-US" w:eastAsia="zh-CN"/>
              </w:rPr>
              <w:t>；</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r>
              <w:rPr>
                <w:rFonts w:hint="eastAsia" w:ascii="宋体" w:hAnsi="宋体" w:cs="宋体"/>
                <w:color w:val="auto"/>
                <w:sz w:val="28"/>
                <w:szCs w:val="28"/>
                <w:vertAlign w:val="baseline"/>
                <w:lang w:val="en-US" w:eastAsia="zh-CN"/>
              </w:rPr>
              <w:t>备注栏中应标明具体型号及生产厂家；</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418030F0">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实时荧光定量PCR仪</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5000</w:t>
            </w:r>
          </w:p>
        </w:tc>
        <w:tc>
          <w:tcPr>
            <w:tcW w:w="1452" w:type="dxa"/>
            <w:noWrap w:val="0"/>
            <w:vAlign w:val="center"/>
          </w:tcPr>
          <w:p w14:paraId="25BFAFC1">
            <w:pPr>
              <w:jc w:val="center"/>
              <w:rPr>
                <w:rFonts w:hint="eastAsia" w:ascii="宋体" w:hAnsi="宋体" w:eastAsia="宋体" w:cs="宋体"/>
                <w:color w:val="auto"/>
                <w:sz w:val="24"/>
                <w:szCs w:val="24"/>
              </w:rPr>
            </w:pPr>
          </w:p>
        </w:tc>
      </w:tr>
    </w:tbl>
    <w:p w14:paraId="4F9A370E">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b/>
                <w:bCs/>
                <w:sz w:val="24"/>
                <w:szCs w:val="24"/>
                <w:lang w:val="en-US" w:eastAsia="zh-CN"/>
              </w:rPr>
              <w:t>实时荧光定量PCR仪</w:t>
            </w:r>
          </w:p>
        </w:tc>
        <w:tc>
          <w:tcPr>
            <w:tcW w:w="8159" w:type="dxa"/>
            <w:noWrap w:val="0"/>
            <w:vAlign w:val="center"/>
          </w:tcPr>
          <w:p w14:paraId="2319E100">
            <w:pPr>
              <w:spacing w:line="360" w:lineRule="auto"/>
              <w:rPr>
                <w:rFonts w:hint="eastAsia" w:ascii="宋体" w:hAnsi="宋体" w:eastAsia="宋体" w:cs="宋体"/>
                <w:sz w:val="24"/>
                <w:szCs w:val="24"/>
              </w:rPr>
            </w:pPr>
            <w:r>
              <w:rPr>
                <w:rFonts w:hint="eastAsia" w:ascii="宋体" w:hAnsi="宋体" w:eastAsia="宋体" w:cs="宋体"/>
                <w:sz w:val="24"/>
                <w:szCs w:val="24"/>
              </w:rPr>
              <w:t>1.样本容量：</w:t>
            </w:r>
            <w:r>
              <w:rPr>
                <w:rFonts w:hint="eastAsia" w:ascii="宋体" w:hAnsi="宋体" w:eastAsia="宋体" w:cs="宋体"/>
                <w:sz w:val="24"/>
                <w:szCs w:val="24"/>
                <w:lang w:val="en-US" w:eastAsia="zh-CN"/>
              </w:rPr>
              <w:t>≥</w:t>
            </w:r>
            <w:r>
              <w:rPr>
                <w:rFonts w:hint="eastAsia" w:ascii="宋体" w:hAnsi="宋体" w:eastAsia="宋体" w:cs="宋体"/>
                <w:sz w:val="24"/>
                <w:szCs w:val="24"/>
              </w:rPr>
              <w:t>48孔</w:t>
            </w:r>
            <w:r>
              <w:rPr>
                <w:rFonts w:hint="eastAsia" w:ascii="宋体" w:hAnsi="宋体" w:eastAsia="宋体" w:cs="宋体"/>
                <w:bCs/>
                <w:sz w:val="24"/>
                <w:szCs w:val="24"/>
              </w:rPr>
              <w:t>(6模块×8孔*0.2ml)</w:t>
            </w:r>
          </w:p>
          <w:p w14:paraId="296E3483">
            <w:pPr>
              <w:spacing w:line="360" w:lineRule="auto"/>
              <w:rPr>
                <w:rFonts w:hint="eastAsia" w:ascii="宋体" w:hAnsi="宋体" w:eastAsia="宋体" w:cs="宋体"/>
                <w:sz w:val="24"/>
                <w:szCs w:val="24"/>
              </w:rPr>
            </w:pPr>
            <w:r>
              <w:rPr>
                <w:rFonts w:hint="eastAsia" w:ascii="宋体" w:hAnsi="宋体" w:eastAsia="宋体" w:cs="宋体"/>
                <w:sz w:val="24"/>
                <w:szCs w:val="24"/>
              </w:rPr>
              <w:t>2.适用耗材：0.2mlPCR 管、8连管</w:t>
            </w:r>
          </w:p>
          <w:p w14:paraId="044EBFC7">
            <w:pPr>
              <w:spacing w:line="360" w:lineRule="auto"/>
              <w:rPr>
                <w:rFonts w:hint="eastAsia" w:ascii="宋体" w:hAnsi="宋体" w:eastAsia="宋体" w:cs="宋体"/>
                <w:sz w:val="24"/>
                <w:szCs w:val="24"/>
              </w:rPr>
            </w:pPr>
            <w:r>
              <w:rPr>
                <w:rFonts w:hint="eastAsia" w:ascii="宋体" w:hAnsi="宋体" w:eastAsia="宋体" w:cs="宋体"/>
                <w:sz w:val="24"/>
                <w:szCs w:val="24"/>
              </w:rPr>
              <w:t>3.孔排布：1*8*6</w:t>
            </w:r>
          </w:p>
          <w:p w14:paraId="24BDB3A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4.荧光通道：</w:t>
            </w:r>
            <w:r>
              <w:rPr>
                <w:rFonts w:hint="eastAsia" w:ascii="宋体" w:hAnsi="宋体" w:eastAsia="宋体" w:cs="宋体"/>
                <w:sz w:val="24"/>
                <w:szCs w:val="24"/>
                <w:lang w:val="en-US" w:eastAsia="zh-CN"/>
              </w:rPr>
              <w:t>≥8色荧光检测通道</w:t>
            </w:r>
          </w:p>
          <w:p w14:paraId="4619BBE4">
            <w:pPr>
              <w:spacing w:line="360" w:lineRule="auto"/>
              <w:rPr>
                <w:rFonts w:hint="eastAsia" w:ascii="宋体" w:hAnsi="宋体" w:eastAsia="宋体" w:cs="宋体"/>
                <w:sz w:val="24"/>
                <w:szCs w:val="24"/>
              </w:rPr>
            </w:pPr>
            <w:r>
              <w:rPr>
                <w:rFonts w:hint="eastAsia" w:ascii="宋体" w:hAnsi="宋体" w:eastAsia="宋体" w:cs="宋体"/>
                <w:sz w:val="24"/>
                <w:szCs w:val="24"/>
              </w:rPr>
              <w:t>5.控温方式：普通模式和快速模式</w:t>
            </w:r>
          </w:p>
          <w:p w14:paraId="68F457FD">
            <w:pPr>
              <w:spacing w:line="360" w:lineRule="auto"/>
              <w:rPr>
                <w:rFonts w:hint="eastAsia" w:ascii="宋体" w:hAnsi="宋体" w:eastAsia="宋体" w:cs="宋体"/>
                <w:sz w:val="24"/>
                <w:szCs w:val="24"/>
              </w:rPr>
            </w:pPr>
            <w:r>
              <w:rPr>
                <w:rFonts w:hint="eastAsia" w:ascii="宋体" w:hAnsi="宋体" w:eastAsia="宋体" w:cs="宋体"/>
                <w:sz w:val="24"/>
                <w:szCs w:val="24"/>
              </w:rPr>
              <w:t>6.升温速率：</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/s</w:t>
            </w:r>
          </w:p>
          <w:p w14:paraId="2B29A791">
            <w:pPr>
              <w:spacing w:line="360" w:lineRule="auto"/>
              <w:rPr>
                <w:rFonts w:hint="eastAsia" w:ascii="宋体" w:hAnsi="宋体" w:eastAsia="宋体" w:cs="宋体"/>
                <w:sz w:val="24"/>
                <w:szCs w:val="24"/>
              </w:rPr>
            </w:pPr>
            <w:r>
              <w:rPr>
                <w:rFonts w:hint="eastAsia" w:ascii="宋体" w:hAnsi="宋体" w:eastAsia="宋体" w:cs="宋体"/>
                <w:sz w:val="24"/>
                <w:szCs w:val="24"/>
              </w:rPr>
              <w:t>7.降温速率：</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6 </w:t>
            </w:r>
            <w:r>
              <w:rPr>
                <w:rFonts w:hint="eastAsia" w:ascii="宋体" w:hAnsi="宋体" w:eastAsia="宋体" w:cs="宋体"/>
                <w:sz w:val="24"/>
                <w:szCs w:val="24"/>
                <w:lang w:val="en-US" w:eastAsia="zh-CN"/>
              </w:rPr>
              <w:t>℃</w:t>
            </w:r>
            <w:r>
              <w:rPr>
                <w:rFonts w:hint="eastAsia" w:ascii="宋体" w:hAnsi="宋体" w:eastAsia="宋体" w:cs="宋体"/>
                <w:sz w:val="24"/>
                <w:szCs w:val="24"/>
              </w:rPr>
              <w:t>/s</w:t>
            </w:r>
          </w:p>
          <w:p w14:paraId="7607CAFF">
            <w:pPr>
              <w:spacing w:line="360" w:lineRule="auto"/>
              <w:rPr>
                <w:rFonts w:hint="eastAsia" w:ascii="宋体" w:hAnsi="宋体" w:eastAsia="宋体" w:cs="宋体"/>
                <w:sz w:val="24"/>
                <w:szCs w:val="24"/>
              </w:rPr>
            </w:pPr>
            <w:r>
              <w:rPr>
                <w:rFonts w:hint="eastAsia" w:ascii="宋体" w:hAnsi="宋体" w:eastAsia="宋体" w:cs="宋体"/>
                <w:sz w:val="24"/>
                <w:szCs w:val="24"/>
              </w:rPr>
              <w:t>8.温度均匀性：士0.1°C</w:t>
            </w:r>
            <w:bookmarkStart w:id="0" w:name="_GoBack"/>
            <w:bookmarkEnd w:id="0"/>
          </w:p>
          <w:p w14:paraId="04F5112A">
            <w:pPr>
              <w:spacing w:line="360" w:lineRule="auto"/>
              <w:rPr>
                <w:rFonts w:hint="eastAsia" w:ascii="宋体" w:hAnsi="宋体" w:eastAsia="宋体" w:cs="宋体"/>
                <w:sz w:val="24"/>
                <w:szCs w:val="24"/>
              </w:rPr>
            </w:pPr>
            <w:r>
              <w:rPr>
                <w:rFonts w:hint="eastAsia" w:ascii="宋体" w:hAnsi="宋体" w:eastAsia="宋体" w:cs="宋体"/>
                <w:sz w:val="24"/>
                <w:szCs w:val="24"/>
              </w:rPr>
              <w:t>9.温度补偿：有</w:t>
            </w:r>
          </w:p>
          <w:p w14:paraId="64CE462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10.光源和检测方式：LED和 PD</w:t>
            </w:r>
            <w:r>
              <w:rPr>
                <w:rFonts w:hint="eastAsia" w:ascii="宋体" w:hAnsi="宋体" w:eastAsia="宋体" w:cs="宋体"/>
                <w:sz w:val="24"/>
                <w:szCs w:val="24"/>
                <w:lang w:eastAsia="zh-CN"/>
              </w:rPr>
              <w:t>；</w:t>
            </w:r>
          </w:p>
          <w:p w14:paraId="3B09C1E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6个独立的电动热盖</w:t>
            </w:r>
            <w:r>
              <w:rPr>
                <w:rFonts w:hint="eastAsia" w:ascii="宋体" w:hAnsi="宋体" w:eastAsia="宋体" w:cs="宋体"/>
                <w:sz w:val="24"/>
                <w:szCs w:val="24"/>
                <w:lang w:eastAsia="zh-CN"/>
              </w:rPr>
              <w:t>；</w:t>
            </w:r>
          </w:p>
          <w:p w14:paraId="4B410E87">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6个独立反应模块，可独立运行6个不同的实验</w:t>
            </w:r>
            <w:r>
              <w:rPr>
                <w:rFonts w:hint="eastAsia" w:ascii="宋体" w:hAnsi="宋体" w:eastAsia="宋体" w:cs="宋体"/>
                <w:sz w:val="24"/>
                <w:szCs w:val="24"/>
                <w:lang w:eastAsia="zh-CN"/>
              </w:rPr>
              <w:t>；</w:t>
            </w:r>
          </w:p>
          <w:p w14:paraId="2581AFE8">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eastAsia="宋体" w:cs="宋体"/>
                <w:sz w:val="24"/>
                <w:szCs w:val="24"/>
                <w:lang w:eastAsia="zh-CN"/>
              </w:rPr>
              <w:t>需具备</w:t>
            </w:r>
            <w:r>
              <w:rPr>
                <w:rFonts w:hint="eastAsia" w:ascii="宋体" w:hAnsi="宋体" w:eastAsia="宋体" w:cs="宋体"/>
                <w:sz w:val="24"/>
                <w:szCs w:val="24"/>
              </w:rPr>
              <w:t>断电保护功能：电脑断电后，仍能继续运行程序和保存数据</w:t>
            </w:r>
            <w:r>
              <w:rPr>
                <w:rFonts w:hint="eastAsia" w:ascii="宋体" w:hAnsi="宋体" w:eastAsia="宋体" w:cs="宋体"/>
                <w:sz w:val="24"/>
                <w:szCs w:val="24"/>
                <w:lang w:eastAsia="zh-CN"/>
              </w:rPr>
              <w:t>；</w:t>
            </w:r>
          </w:p>
          <w:p w14:paraId="4D45974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sz w:val="24"/>
                <w:szCs w:val="24"/>
                <w:lang w:eastAsia="zh-CN"/>
              </w:rPr>
              <w:t>需具有、</w:t>
            </w:r>
            <w:r>
              <w:rPr>
                <w:rFonts w:hint="eastAsia" w:ascii="宋体" w:hAnsi="宋体" w:eastAsia="宋体" w:cs="宋体"/>
                <w:sz w:val="24"/>
                <w:szCs w:val="24"/>
              </w:rPr>
              <w:t>定性、定量、相对定量、熔解曲线、多色熔解曲线、HRM(高分辨率熔解曲线)</w:t>
            </w:r>
            <w:r>
              <w:rPr>
                <w:rFonts w:hint="eastAsia" w:ascii="宋体" w:hAnsi="宋体" w:eastAsia="宋体" w:cs="宋体"/>
                <w:sz w:val="24"/>
                <w:szCs w:val="24"/>
                <w:lang w:eastAsia="zh-CN"/>
              </w:rPr>
              <w:t>等功能；</w:t>
            </w:r>
          </w:p>
          <w:p w14:paraId="12ECA52F">
            <w:pPr>
              <w:rPr>
                <w:rFonts w:hint="eastAsia" w:eastAsiaTheme="minorEastAsia"/>
                <w:lang w:eastAsia="zh-CN"/>
              </w:rPr>
            </w:pPr>
          </w:p>
          <w:p w14:paraId="583C5E41">
            <w:pPr>
              <w:spacing w:line="360" w:lineRule="auto"/>
              <w:rPr>
                <w:rFonts w:hint="eastAsia" w:ascii="宋体" w:hAnsi="宋体" w:eastAsia="宋体" w:cs="宋体"/>
                <w:b/>
                <w:bCs/>
                <w:sz w:val="24"/>
                <w:szCs w:val="24"/>
                <w:lang w:val="en-US" w:eastAsia="zh-CN"/>
              </w:rPr>
            </w:pPr>
          </w:p>
          <w:p w14:paraId="5B1A1090">
            <w:pPr>
              <w:rPr>
                <w:rFonts w:ascii="宋体" w:hAnsi="宋体"/>
              </w:rPr>
            </w:pPr>
          </w:p>
          <w:p w14:paraId="03EE4E90">
            <w:pPr>
              <w:bidi w:val="0"/>
              <w:rPr>
                <w:rFonts w:hint="eastAsia" w:ascii="宋体" w:hAnsi="宋体" w:eastAsia="宋体" w:cs="宋体"/>
                <w:color w:val="auto"/>
                <w:sz w:val="24"/>
                <w:szCs w:val="24"/>
              </w:rPr>
            </w:pPr>
          </w:p>
        </w:tc>
      </w:tr>
    </w:tbl>
    <w:p w14:paraId="0BE310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5D24E61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389624BB">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443F8AB1">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5B2C6721">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87D1"/>
    <w:multiLevelType w:val="singleLevel"/>
    <w:tmpl w:val="618487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14F840DF"/>
    <w:rsid w:val="01C26E13"/>
    <w:rsid w:val="060F0D66"/>
    <w:rsid w:val="08BC7EE1"/>
    <w:rsid w:val="08E5752B"/>
    <w:rsid w:val="09E14EBF"/>
    <w:rsid w:val="0C191BB3"/>
    <w:rsid w:val="0D2C0F14"/>
    <w:rsid w:val="0F063405"/>
    <w:rsid w:val="14F840DF"/>
    <w:rsid w:val="18BD7334"/>
    <w:rsid w:val="191E6047"/>
    <w:rsid w:val="19F95204"/>
    <w:rsid w:val="1AD96558"/>
    <w:rsid w:val="1B4C4F95"/>
    <w:rsid w:val="1B835EB6"/>
    <w:rsid w:val="1BD94FE4"/>
    <w:rsid w:val="1F6B283A"/>
    <w:rsid w:val="1F8614CC"/>
    <w:rsid w:val="214D5991"/>
    <w:rsid w:val="23830056"/>
    <w:rsid w:val="23A0440A"/>
    <w:rsid w:val="23EB1DA2"/>
    <w:rsid w:val="24225531"/>
    <w:rsid w:val="25764953"/>
    <w:rsid w:val="27441AAE"/>
    <w:rsid w:val="28880A45"/>
    <w:rsid w:val="2CF85053"/>
    <w:rsid w:val="2F9652B7"/>
    <w:rsid w:val="32DA0069"/>
    <w:rsid w:val="34504361"/>
    <w:rsid w:val="35CB69CC"/>
    <w:rsid w:val="3B607792"/>
    <w:rsid w:val="3EF270AB"/>
    <w:rsid w:val="405C6B3E"/>
    <w:rsid w:val="41035524"/>
    <w:rsid w:val="42D32572"/>
    <w:rsid w:val="45F91CA4"/>
    <w:rsid w:val="462342C4"/>
    <w:rsid w:val="462907DC"/>
    <w:rsid w:val="4630388E"/>
    <w:rsid w:val="46430BED"/>
    <w:rsid w:val="46BF38A3"/>
    <w:rsid w:val="476D64A6"/>
    <w:rsid w:val="48AD3216"/>
    <w:rsid w:val="4A767B3D"/>
    <w:rsid w:val="4B8411C5"/>
    <w:rsid w:val="4E047C37"/>
    <w:rsid w:val="4F4C553B"/>
    <w:rsid w:val="501E4797"/>
    <w:rsid w:val="50395D8C"/>
    <w:rsid w:val="50ED7854"/>
    <w:rsid w:val="513122B5"/>
    <w:rsid w:val="5526593F"/>
    <w:rsid w:val="566E5D97"/>
    <w:rsid w:val="57F6086B"/>
    <w:rsid w:val="59532FF8"/>
    <w:rsid w:val="5B3C15DC"/>
    <w:rsid w:val="5CD17384"/>
    <w:rsid w:val="5D36645E"/>
    <w:rsid w:val="5DFC59C2"/>
    <w:rsid w:val="61EC051E"/>
    <w:rsid w:val="63F85989"/>
    <w:rsid w:val="661F281A"/>
    <w:rsid w:val="6638706C"/>
    <w:rsid w:val="6B777044"/>
    <w:rsid w:val="6BF61AC9"/>
    <w:rsid w:val="6D601781"/>
    <w:rsid w:val="70C01024"/>
    <w:rsid w:val="70FC07BA"/>
    <w:rsid w:val="71F5280E"/>
    <w:rsid w:val="7219208E"/>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4013</Words>
  <Characters>4448</Characters>
  <Lines>0</Lines>
  <Paragraphs>0</Paragraphs>
  <TotalTime>0</TotalTime>
  <ScaleCrop>false</ScaleCrop>
  <LinksUpToDate>false</LinksUpToDate>
  <CharactersWithSpaces>4893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2025-05-26T00:04:00Z</cp:lastPrinted>
  <dcterms:modified xsi:type="dcterms:W3CDTF">2025-12-10T00:21:21Z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25DE173FAF13473CB35C339F50E60F0B_13</vt:lpwstr>
  </property>
  <property fmtid="{D5CDD505-2E9C-101B-9397-08002B2CF9AE}" pid="4" name="KSOTemplateDocerSaveRecord">
    <vt:lpwstr>eyJoZGlkIjoiZjVlOTJjYWFhNmFhNWY4MGVhOWYyNTI5YjllMjc3OTQiLCJ1c2VySWQiOiIxNTcxMzIzMTc5In0=</vt:lpwstr>
  </property>
</Properties>
</file>